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2168A" w:rsidRDefault="004512CE" w:rsidP="00506517">
      <w:pPr>
        <w:ind w:right="183"/>
        <w:jc w:val="right"/>
        <w:rPr>
          <w:rFonts w:ascii="Arial" w:hAnsi="Arial" w:cs="Arial"/>
          <w:b/>
          <w:bCs/>
          <w:color w:val="244061"/>
        </w:rPr>
      </w:pPr>
      <w:r w:rsidRPr="00F2168A">
        <w:rPr>
          <w:rFonts w:ascii="Arial" w:hAnsi="Arial" w:cs="Arial"/>
          <w:b/>
          <w:bCs/>
          <w:color w:val="244061"/>
        </w:rPr>
        <w:t xml:space="preserve">Ref: </w:t>
      </w:r>
      <w:r w:rsidR="001849E6" w:rsidRPr="00F2168A">
        <w:rPr>
          <w:rFonts w:ascii="Arial" w:hAnsi="Arial" w:cs="Arial"/>
          <w:b/>
          <w:bCs/>
          <w:color w:val="244061"/>
        </w:rPr>
        <w:t>GJF/</w:t>
      </w:r>
      <w:r w:rsidR="00436D9B" w:rsidRPr="00F2168A">
        <w:rPr>
          <w:rFonts w:ascii="Arial" w:hAnsi="Arial" w:cs="Arial"/>
          <w:b/>
          <w:bCs/>
          <w:color w:val="244061"/>
        </w:rPr>
        <w:t>2018/</w:t>
      </w:r>
      <w:r w:rsidR="00B303F5" w:rsidRPr="00F2168A">
        <w:rPr>
          <w:rFonts w:ascii="Arial" w:hAnsi="Arial" w:cs="Arial"/>
          <w:b/>
          <w:bCs/>
          <w:color w:val="244061"/>
        </w:rPr>
        <w:t>03/18</w:t>
      </w:r>
    </w:p>
    <w:p w:rsidR="00513DB0" w:rsidRDefault="00B303F5"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4390390</wp:posOffset>
            </wp:positionH>
            <wp:positionV relativeFrom="paragraph">
              <wp:posOffset>62865</wp:posOffset>
            </wp:positionV>
            <wp:extent cx="1372235" cy="1372235"/>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72235" cy="137223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436D9B">
        <w:rPr>
          <w:rFonts w:ascii="Arial" w:hAnsi="Arial" w:cs="Arial"/>
          <w:b w:val="0"/>
          <w:sz w:val="24"/>
          <w:szCs w:val="24"/>
        </w:rPr>
        <w:t>29 March 2018</w:t>
      </w:r>
    </w:p>
    <w:p w:rsidR="001175E5" w:rsidRPr="00682309" w:rsidRDefault="001175E5" w:rsidP="00506517">
      <w:pPr>
        <w:ind w:left="-426" w:right="183"/>
        <w:rPr>
          <w:rFonts w:ascii="Arial" w:hAnsi="Arial" w:cs="Arial"/>
        </w:rPr>
      </w:pPr>
    </w:p>
    <w:p w:rsidR="00A2577B" w:rsidRPr="00436D9B" w:rsidRDefault="00A2577B" w:rsidP="00436D9B">
      <w:pPr>
        <w:ind w:left="2154" w:right="183" w:hanging="2580"/>
        <w:rPr>
          <w:rFonts w:ascii="Arial" w:hAnsi="Arial" w:cs="Arial"/>
          <w:bCs/>
        </w:rPr>
      </w:pPr>
      <w:r w:rsidRPr="00682309">
        <w:rPr>
          <w:rFonts w:ascii="Arial" w:hAnsi="Arial" w:cs="Arial"/>
          <w:b/>
          <w:bCs/>
        </w:rPr>
        <w:t xml:space="preserve">Subject: </w:t>
      </w:r>
      <w:r w:rsidRPr="00682309">
        <w:rPr>
          <w:rFonts w:ascii="Arial" w:hAnsi="Arial" w:cs="Arial"/>
          <w:b/>
          <w:bCs/>
        </w:rPr>
        <w:tab/>
      </w:r>
      <w:r w:rsidR="00513DB0">
        <w:rPr>
          <w:rFonts w:ascii="Arial" w:hAnsi="Arial" w:cs="Arial"/>
          <w:b/>
          <w:bCs/>
        </w:rPr>
        <w:tab/>
      </w:r>
      <w:r w:rsidR="00A37FB1" w:rsidRPr="00A37FB1">
        <w:rPr>
          <w:rFonts w:ascii="Arial" w:hAnsi="Arial" w:cs="Arial"/>
          <w:bCs/>
        </w:rPr>
        <w:t>Audit and Risk Committee</w:t>
      </w:r>
      <w:r w:rsidR="00A37FB1">
        <w:rPr>
          <w:rFonts w:ascii="Arial" w:hAnsi="Arial" w:cs="Arial"/>
          <w:bCs/>
        </w:rPr>
        <w:t xml:space="preserve"> (ARC)</w:t>
      </w:r>
      <w:r w:rsidR="00A37FB1" w:rsidRPr="00A37FB1">
        <w:rPr>
          <w:rFonts w:ascii="Arial" w:hAnsi="Arial" w:cs="Arial"/>
          <w:bCs/>
        </w:rPr>
        <w:t xml:space="preserve"> update</w:t>
      </w:r>
      <w:r w:rsidRPr="00682309">
        <w:rPr>
          <w:rFonts w:ascii="Arial" w:hAnsi="Arial" w:cs="Arial"/>
          <w:b/>
          <w:bCs/>
        </w:rPr>
        <w:tab/>
      </w:r>
      <w:r w:rsidR="00436D9B">
        <w:rPr>
          <w:rFonts w:ascii="Arial" w:hAnsi="Arial" w:cs="Arial"/>
          <w:b/>
          <w:bCs/>
        </w:rPr>
        <w:t xml:space="preserve"> </w:t>
      </w:r>
      <w:r w:rsidR="00436D9B" w:rsidRPr="00436D9B">
        <w:rPr>
          <w:rFonts w:ascii="Arial" w:hAnsi="Arial" w:cs="Arial"/>
          <w:bCs/>
        </w:rPr>
        <w:t xml:space="preserve">from meeting held on </w:t>
      </w:r>
      <w:r w:rsidR="004F1CCD">
        <w:rPr>
          <w:rFonts w:ascii="Arial" w:hAnsi="Arial" w:cs="Arial"/>
          <w:bCs/>
        </w:rPr>
        <w:t>15</w:t>
      </w:r>
      <w:r w:rsidR="004F1CCD" w:rsidRPr="00436D9B">
        <w:rPr>
          <w:rFonts w:ascii="Arial" w:hAnsi="Arial" w:cs="Arial"/>
          <w:bCs/>
        </w:rPr>
        <w:t xml:space="preserve"> </w:t>
      </w:r>
      <w:r w:rsidR="00436D9B" w:rsidRPr="00436D9B">
        <w:rPr>
          <w:rFonts w:ascii="Arial" w:hAnsi="Arial" w:cs="Arial"/>
          <w:bCs/>
        </w:rPr>
        <w:t>February 2018</w:t>
      </w:r>
    </w:p>
    <w:p w:rsidR="00A37FB1" w:rsidRPr="00682309" w:rsidRDefault="00A37FB1" w:rsidP="00506517">
      <w:pPr>
        <w:ind w:left="-426" w:right="183"/>
        <w:rPr>
          <w:rFonts w:ascii="Arial" w:hAnsi="Arial" w:cs="Arial"/>
          <w:b/>
          <w:bCs/>
        </w:rPr>
      </w:pPr>
    </w:p>
    <w:p w:rsidR="00A37FB1" w:rsidRDefault="00A2577B" w:rsidP="00A37FB1">
      <w:pPr>
        <w:ind w:left="2154" w:right="183" w:hanging="2580"/>
        <w:rPr>
          <w:rFonts w:ascii="Arial" w:hAnsi="Arial" w:cs="Arial"/>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Board members are asked to</w:t>
      </w:r>
      <w:r w:rsidR="00A37FB1">
        <w:rPr>
          <w:rFonts w:ascii="Arial" w:hAnsi="Arial" w:cs="Arial"/>
        </w:rPr>
        <w:t xml:space="preserve"> discuss and note the update</w:t>
      </w:r>
      <w:r w:rsidR="00436D9B">
        <w:rPr>
          <w:rFonts w:ascii="Arial" w:hAnsi="Arial" w:cs="Arial"/>
        </w:rPr>
        <w:t>.</w:t>
      </w:r>
    </w:p>
    <w:p w:rsidR="00D95DA3" w:rsidRDefault="00D95DA3" w:rsidP="00A37FB1">
      <w:pPr>
        <w:ind w:left="2154" w:right="183" w:hanging="2580"/>
        <w:rPr>
          <w:rFonts w:ascii="Arial" w:hAnsi="Arial" w:cs="Arial"/>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A37FB1" w:rsidRDefault="001175E5" w:rsidP="00506517">
      <w:pPr>
        <w:pStyle w:val="Heading2"/>
        <w:ind w:left="-426" w:right="183"/>
        <w:rPr>
          <w:i w:val="0"/>
          <w:sz w:val="24"/>
          <w:szCs w:val="24"/>
        </w:rPr>
      </w:pPr>
      <w:r w:rsidRPr="001175E5">
        <w:rPr>
          <w:i w:val="0"/>
          <w:sz w:val="24"/>
          <w:szCs w:val="24"/>
        </w:rPr>
        <w:t>1</w:t>
      </w:r>
      <w:r w:rsidRPr="001175E5">
        <w:rPr>
          <w:i w:val="0"/>
          <w:sz w:val="24"/>
          <w:szCs w:val="24"/>
        </w:rPr>
        <w:tab/>
      </w:r>
      <w:r w:rsidRPr="00A37FB1">
        <w:rPr>
          <w:i w:val="0"/>
          <w:sz w:val="24"/>
          <w:szCs w:val="24"/>
        </w:rPr>
        <w:t>Background</w:t>
      </w:r>
    </w:p>
    <w:p w:rsidR="006D232B" w:rsidRPr="00A37FB1" w:rsidRDefault="001175E5" w:rsidP="00506517">
      <w:pPr>
        <w:ind w:left="-426" w:right="183"/>
        <w:rPr>
          <w:rFonts w:ascii="Arial" w:hAnsi="Arial" w:cs="Arial"/>
          <w:b/>
          <w:bCs/>
        </w:rPr>
      </w:pPr>
      <w:r w:rsidRPr="00A37FB1">
        <w:rPr>
          <w:rFonts w:ascii="Arial" w:hAnsi="Arial" w:cs="Arial"/>
          <w:b/>
          <w:bCs/>
        </w:rPr>
        <w:tab/>
      </w:r>
    </w:p>
    <w:p w:rsidR="006D232B" w:rsidRPr="00A37FB1" w:rsidRDefault="006D232B" w:rsidP="00506517">
      <w:pPr>
        <w:rPr>
          <w:rFonts w:ascii="Arial" w:hAnsi="Arial" w:cs="Arial"/>
        </w:rPr>
      </w:pPr>
      <w:r w:rsidRPr="00A37FB1">
        <w:rPr>
          <w:rFonts w:ascii="Arial" w:hAnsi="Arial" w:cs="Arial"/>
        </w:rPr>
        <w:t>The following key points were agreed at the meeting and have been split into the three high level quality ambitions of person centred, safe, and effective.</w:t>
      </w: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A37FB1" w:rsidTr="00A37FB1">
        <w:trPr>
          <w:trHeight w:val="388"/>
        </w:trPr>
        <w:tc>
          <w:tcPr>
            <w:tcW w:w="1251" w:type="dxa"/>
            <w:shd w:val="clear" w:color="auto" w:fill="0000FF"/>
          </w:tcPr>
          <w:p w:rsidR="006D232B" w:rsidRPr="00A37FB1" w:rsidRDefault="006D232B" w:rsidP="00A37FB1">
            <w:pPr>
              <w:ind w:left="34"/>
              <w:rPr>
                <w:rFonts w:ascii="Arial" w:hAnsi="Arial" w:cs="Arial"/>
                <w:b/>
                <w:bCs/>
                <w:color w:val="FFFFFF"/>
                <w:lang w:val="en-US"/>
              </w:rPr>
            </w:pPr>
            <w:r w:rsidRPr="00A37FB1">
              <w:rPr>
                <w:rFonts w:ascii="Arial" w:hAnsi="Arial" w:cs="Arial"/>
                <w:b/>
                <w:bCs/>
                <w:color w:val="FFFFFF"/>
                <w:lang w:val="en-US"/>
              </w:rPr>
              <w:t>Item</w:t>
            </w:r>
          </w:p>
        </w:tc>
        <w:tc>
          <w:tcPr>
            <w:tcW w:w="7929" w:type="dxa"/>
            <w:shd w:val="clear" w:color="auto" w:fill="0000FF"/>
          </w:tcPr>
          <w:p w:rsidR="006D232B" w:rsidRPr="00A37FB1" w:rsidRDefault="006D232B" w:rsidP="00A37FB1">
            <w:pPr>
              <w:rPr>
                <w:rFonts w:ascii="Arial" w:hAnsi="Arial" w:cs="Arial"/>
                <w:b/>
                <w:bCs/>
                <w:color w:val="FFFFFF"/>
                <w:lang w:val="en-US"/>
              </w:rPr>
            </w:pPr>
            <w:r w:rsidRPr="00A37FB1">
              <w:rPr>
                <w:rFonts w:ascii="Arial" w:hAnsi="Arial" w:cs="Arial"/>
                <w:b/>
                <w:bCs/>
                <w:color w:val="FFFFFF"/>
                <w:lang w:val="en-US"/>
              </w:rPr>
              <w:t>Details</w:t>
            </w:r>
          </w:p>
        </w:tc>
      </w:tr>
      <w:tr w:rsidR="006D232B" w:rsidRPr="00A37FB1" w:rsidTr="00A37FB1">
        <w:tc>
          <w:tcPr>
            <w:tcW w:w="1251" w:type="dxa"/>
          </w:tcPr>
          <w:p w:rsidR="006D232B" w:rsidRPr="00A37FB1" w:rsidRDefault="006D232B" w:rsidP="00A37FB1">
            <w:pPr>
              <w:ind w:left="34"/>
              <w:rPr>
                <w:rFonts w:ascii="Arial" w:hAnsi="Arial" w:cs="Arial"/>
                <w:b/>
                <w:bCs/>
                <w:lang w:val="en-US"/>
              </w:rPr>
            </w:pPr>
            <w:r w:rsidRPr="00A37FB1">
              <w:rPr>
                <w:rFonts w:ascii="Arial" w:hAnsi="Arial" w:cs="Arial"/>
                <w:b/>
                <w:bCs/>
                <w:lang w:val="en-US"/>
              </w:rPr>
              <w:t xml:space="preserve">Person </w:t>
            </w:r>
            <w:proofErr w:type="spellStart"/>
            <w:r w:rsidRPr="00A37FB1">
              <w:rPr>
                <w:rFonts w:ascii="Arial" w:hAnsi="Arial" w:cs="Arial"/>
                <w:b/>
                <w:bCs/>
                <w:lang w:val="en-US"/>
              </w:rPr>
              <w:t>Centred</w:t>
            </w:r>
            <w:proofErr w:type="spellEnd"/>
          </w:p>
          <w:p w:rsidR="006D232B" w:rsidRPr="00A37FB1" w:rsidRDefault="006D232B" w:rsidP="00A37FB1">
            <w:pPr>
              <w:ind w:left="34"/>
              <w:rPr>
                <w:rFonts w:ascii="Arial" w:hAnsi="Arial" w:cs="Arial"/>
                <w:bCs/>
                <w:lang w:val="en-US"/>
              </w:rPr>
            </w:pPr>
          </w:p>
          <w:p w:rsidR="006D232B" w:rsidRPr="00A37FB1" w:rsidRDefault="006D232B" w:rsidP="00A37FB1">
            <w:pPr>
              <w:ind w:left="34"/>
              <w:rPr>
                <w:rFonts w:ascii="Arial" w:hAnsi="Arial" w:cs="Arial"/>
                <w:bCs/>
                <w:lang w:val="en-US"/>
              </w:rPr>
            </w:pPr>
          </w:p>
          <w:p w:rsidR="006D232B" w:rsidRPr="00A37FB1" w:rsidRDefault="006D232B" w:rsidP="00A37FB1">
            <w:pPr>
              <w:ind w:left="34"/>
              <w:rPr>
                <w:rFonts w:ascii="Arial" w:hAnsi="Arial" w:cs="Arial"/>
                <w:bCs/>
                <w:lang w:val="en-US"/>
              </w:rPr>
            </w:pPr>
          </w:p>
        </w:tc>
        <w:tc>
          <w:tcPr>
            <w:tcW w:w="7929" w:type="dxa"/>
          </w:tcPr>
          <w:p w:rsidR="006D232B" w:rsidRPr="00A37FB1" w:rsidRDefault="006D232B" w:rsidP="00A37FB1">
            <w:pPr>
              <w:ind w:right="283"/>
              <w:rPr>
                <w:rFonts w:ascii="Arial" w:hAnsi="Arial" w:cs="Arial"/>
                <w:b/>
                <w:color w:val="000000"/>
              </w:rPr>
            </w:pPr>
            <w:r w:rsidRPr="00A37FB1">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A37FB1" w:rsidRDefault="006D232B" w:rsidP="00A37FB1">
            <w:pPr>
              <w:ind w:right="283"/>
              <w:rPr>
                <w:rFonts w:ascii="Arial" w:hAnsi="Arial" w:cs="Arial"/>
                <w:bCs/>
                <w:lang w:val="en-US"/>
              </w:rPr>
            </w:pPr>
          </w:p>
          <w:p w:rsidR="00A37FB1" w:rsidRPr="00A37FB1" w:rsidRDefault="009F4E02" w:rsidP="00A37FB1">
            <w:pPr>
              <w:numPr>
                <w:ilvl w:val="0"/>
                <w:numId w:val="12"/>
              </w:numPr>
              <w:tabs>
                <w:tab w:val="num" w:pos="655"/>
              </w:tabs>
              <w:ind w:right="283"/>
              <w:rPr>
                <w:rFonts w:ascii="Arial" w:hAnsi="Arial" w:cs="Arial"/>
                <w:bCs/>
                <w:lang w:val="en-US"/>
              </w:rPr>
            </w:pPr>
            <w:r>
              <w:rPr>
                <w:rFonts w:ascii="Arial" w:hAnsi="Arial" w:cs="Arial"/>
                <w:bCs/>
                <w:lang w:val="en-US"/>
              </w:rPr>
              <w:t xml:space="preserve">The final </w:t>
            </w:r>
            <w:r w:rsidR="006574B3">
              <w:rPr>
                <w:rFonts w:ascii="Arial" w:hAnsi="Arial" w:cs="Arial"/>
                <w:bCs/>
                <w:lang w:val="en-US"/>
              </w:rPr>
              <w:t>Conflict of Interest Policy was presented and approved by t</w:t>
            </w:r>
            <w:r w:rsidR="00A37FB1" w:rsidRPr="00A37FB1">
              <w:rPr>
                <w:rFonts w:ascii="Arial" w:hAnsi="Arial" w:cs="Arial"/>
                <w:bCs/>
                <w:lang w:val="en-US"/>
              </w:rPr>
              <w:t>he Committee</w:t>
            </w:r>
            <w:r w:rsidR="004F1CCD">
              <w:rPr>
                <w:rFonts w:ascii="Arial" w:hAnsi="Arial" w:cs="Arial"/>
                <w:bCs/>
                <w:lang w:val="en-US"/>
              </w:rPr>
              <w:t xml:space="preserve"> with agreement to present to Board for final approval</w:t>
            </w:r>
            <w:r w:rsidR="00A37FB1" w:rsidRPr="00A37FB1">
              <w:rPr>
                <w:rFonts w:ascii="Arial" w:hAnsi="Arial" w:cs="Arial"/>
                <w:bCs/>
                <w:lang w:val="en-US"/>
              </w:rPr>
              <w:t>.</w:t>
            </w:r>
          </w:p>
          <w:p w:rsidR="006574B3" w:rsidRDefault="006574B3" w:rsidP="00A37FB1">
            <w:pPr>
              <w:numPr>
                <w:ilvl w:val="0"/>
                <w:numId w:val="12"/>
              </w:numPr>
              <w:tabs>
                <w:tab w:val="num" w:pos="655"/>
              </w:tabs>
              <w:ind w:right="283"/>
              <w:rPr>
                <w:rFonts w:ascii="Arial" w:hAnsi="Arial" w:cs="Arial"/>
                <w:bCs/>
                <w:lang w:val="en-US"/>
              </w:rPr>
            </w:pPr>
            <w:r w:rsidRPr="006574B3">
              <w:rPr>
                <w:rFonts w:ascii="Arial" w:hAnsi="Arial" w:cs="Arial"/>
                <w:bCs/>
                <w:lang w:val="en-US"/>
              </w:rPr>
              <w:t xml:space="preserve">Cost Control for </w:t>
            </w:r>
            <w:r w:rsidR="00F2168A">
              <w:rPr>
                <w:rFonts w:ascii="Arial" w:hAnsi="Arial" w:cs="Arial"/>
                <w:bCs/>
                <w:lang w:val="en-US"/>
              </w:rPr>
              <w:t xml:space="preserve">the </w:t>
            </w:r>
            <w:r w:rsidRPr="006574B3">
              <w:rPr>
                <w:rFonts w:ascii="Arial" w:hAnsi="Arial" w:cs="Arial"/>
                <w:bCs/>
                <w:lang w:val="en-US"/>
              </w:rPr>
              <w:t xml:space="preserve">Expansion </w:t>
            </w:r>
            <w:proofErr w:type="spellStart"/>
            <w:r w:rsidRPr="006574B3">
              <w:rPr>
                <w:rFonts w:ascii="Arial" w:hAnsi="Arial" w:cs="Arial"/>
                <w:bCs/>
                <w:lang w:val="en-US"/>
              </w:rPr>
              <w:t>Programme</w:t>
            </w:r>
            <w:proofErr w:type="spellEnd"/>
            <w:r w:rsidRPr="006574B3">
              <w:rPr>
                <w:rFonts w:ascii="Arial" w:hAnsi="Arial" w:cs="Arial"/>
                <w:bCs/>
                <w:lang w:val="en-US"/>
              </w:rPr>
              <w:t xml:space="preserve"> was noted by t</w:t>
            </w:r>
            <w:r w:rsidR="00A37FB1" w:rsidRPr="006574B3">
              <w:rPr>
                <w:rFonts w:ascii="Arial" w:hAnsi="Arial" w:cs="Arial"/>
                <w:bCs/>
                <w:lang w:val="en-US"/>
              </w:rPr>
              <w:t>he Committee</w:t>
            </w:r>
            <w:r w:rsidR="00F2168A">
              <w:rPr>
                <w:rFonts w:ascii="Arial" w:hAnsi="Arial" w:cs="Arial"/>
                <w:bCs/>
                <w:lang w:val="en-US"/>
              </w:rPr>
              <w:t>.</w:t>
            </w:r>
            <w:r w:rsidR="00A37FB1" w:rsidRPr="006574B3">
              <w:rPr>
                <w:rFonts w:ascii="Arial" w:hAnsi="Arial" w:cs="Arial"/>
                <w:bCs/>
                <w:lang w:val="en-US"/>
              </w:rPr>
              <w:t xml:space="preserve"> </w:t>
            </w:r>
          </w:p>
          <w:p w:rsidR="00A37FB1" w:rsidRDefault="00A37FB1" w:rsidP="00A37FB1">
            <w:pPr>
              <w:numPr>
                <w:ilvl w:val="0"/>
                <w:numId w:val="12"/>
              </w:numPr>
              <w:tabs>
                <w:tab w:val="num" w:pos="655"/>
              </w:tabs>
              <w:ind w:right="283"/>
              <w:rPr>
                <w:rFonts w:ascii="Arial" w:hAnsi="Arial" w:cs="Arial"/>
                <w:bCs/>
                <w:lang w:val="en-US"/>
              </w:rPr>
            </w:pPr>
            <w:r w:rsidRPr="00A37FB1">
              <w:rPr>
                <w:rFonts w:ascii="Arial" w:hAnsi="Arial" w:cs="Arial"/>
                <w:bCs/>
                <w:lang w:val="en-US"/>
              </w:rPr>
              <w:t xml:space="preserve">The Committee received an update on the Fraud </w:t>
            </w:r>
            <w:r>
              <w:rPr>
                <w:rFonts w:ascii="Arial" w:hAnsi="Arial" w:cs="Arial"/>
                <w:bCs/>
                <w:lang w:val="en-US"/>
              </w:rPr>
              <w:t>P</w:t>
            </w:r>
            <w:r w:rsidRPr="00A37FB1">
              <w:rPr>
                <w:rFonts w:ascii="Arial" w:hAnsi="Arial" w:cs="Arial"/>
                <w:bCs/>
                <w:lang w:val="en-US"/>
              </w:rPr>
              <w:t xml:space="preserve">roactive </w:t>
            </w:r>
            <w:r>
              <w:rPr>
                <w:rFonts w:ascii="Arial" w:hAnsi="Arial" w:cs="Arial"/>
                <w:bCs/>
                <w:lang w:val="en-US"/>
              </w:rPr>
              <w:t>P</w:t>
            </w:r>
            <w:r w:rsidRPr="00A37FB1">
              <w:rPr>
                <w:rFonts w:ascii="Arial" w:hAnsi="Arial" w:cs="Arial"/>
                <w:bCs/>
                <w:lang w:val="en-US"/>
              </w:rPr>
              <w:t>la</w:t>
            </w:r>
            <w:r>
              <w:rPr>
                <w:rFonts w:ascii="Arial" w:hAnsi="Arial" w:cs="Arial"/>
                <w:bCs/>
                <w:lang w:val="en-US"/>
              </w:rPr>
              <w:t>n</w:t>
            </w:r>
            <w:r w:rsidR="006574B3">
              <w:rPr>
                <w:rFonts w:ascii="Arial" w:hAnsi="Arial" w:cs="Arial"/>
                <w:bCs/>
                <w:lang w:val="en-US"/>
              </w:rPr>
              <w:t xml:space="preserve"> and it was agreed to Invite Counter Fraud Services to a Board meeting to give a presentation on prevention of bribery and corruption and cyber security</w:t>
            </w:r>
            <w:r>
              <w:rPr>
                <w:rFonts w:ascii="Arial" w:hAnsi="Arial" w:cs="Arial"/>
                <w:bCs/>
                <w:lang w:val="en-US"/>
              </w:rPr>
              <w:t>.</w:t>
            </w:r>
          </w:p>
          <w:p w:rsidR="006D232B" w:rsidRDefault="006574B3" w:rsidP="00A37FB1">
            <w:pPr>
              <w:numPr>
                <w:ilvl w:val="0"/>
                <w:numId w:val="12"/>
              </w:numPr>
              <w:tabs>
                <w:tab w:val="num" w:pos="655"/>
              </w:tabs>
              <w:ind w:right="283"/>
              <w:rPr>
                <w:rFonts w:ascii="Arial" w:hAnsi="Arial" w:cs="Arial"/>
                <w:bCs/>
                <w:lang w:val="en-US"/>
              </w:rPr>
            </w:pPr>
            <w:r>
              <w:rPr>
                <w:rFonts w:ascii="Arial" w:hAnsi="Arial" w:cs="Arial"/>
                <w:bCs/>
                <w:lang w:val="en-US"/>
              </w:rPr>
              <w:t>Appointment of Internal Auditors update</w:t>
            </w:r>
            <w:r w:rsidR="00113AAD">
              <w:rPr>
                <w:rFonts w:ascii="Arial" w:hAnsi="Arial" w:cs="Arial"/>
                <w:bCs/>
                <w:lang w:val="en-US"/>
              </w:rPr>
              <w:t xml:space="preserve"> was provided</w:t>
            </w:r>
            <w:r w:rsidR="00A37FB1">
              <w:rPr>
                <w:rFonts w:ascii="Arial" w:hAnsi="Arial" w:cs="Arial"/>
                <w:bCs/>
                <w:lang w:val="en-US"/>
              </w:rPr>
              <w:t>.</w:t>
            </w:r>
          </w:p>
          <w:p w:rsidR="00F2168A" w:rsidRPr="000F3034" w:rsidRDefault="00F2168A" w:rsidP="00F2168A">
            <w:pPr>
              <w:tabs>
                <w:tab w:val="num" w:pos="655"/>
              </w:tabs>
              <w:ind w:left="360" w:right="283"/>
              <w:rPr>
                <w:rFonts w:ascii="Arial" w:hAnsi="Arial" w:cs="Arial"/>
                <w:bCs/>
                <w:lang w:val="en-US"/>
              </w:rPr>
            </w:pPr>
          </w:p>
        </w:tc>
      </w:tr>
      <w:tr w:rsidR="006D232B" w:rsidRPr="00A37FB1" w:rsidTr="00A37FB1">
        <w:tc>
          <w:tcPr>
            <w:tcW w:w="1251" w:type="dxa"/>
          </w:tcPr>
          <w:p w:rsidR="006D232B" w:rsidRPr="00A37FB1" w:rsidRDefault="006D232B" w:rsidP="00A37FB1">
            <w:pPr>
              <w:ind w:left="34"/>
              <w:rPr>
                <w:rFonts w:ascii="Arial" w:hAnsi="Arial" w:cs="Arial"/>
                <w:b/>
                <w:bCs/>
                <w:lang w:val="en-US"/>
              </w:rPr>
            </w:pPr>
            <w:r w:rsidRPr="00A37FB1">
              <w:rPr>
                <w:rFonts w:ascii="Arial" w:hAnsi="Arial" w:cs="Arial"/>
                <w:b/>
                <w:bCs/>
                <w:lang w:val="en-US"/>
              </w:rPr>
              <w:t>Safe</w:t>
            </w: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rPr>
                <w:rFonts w:ascii="Arial" w:hAnsi="Arial" w:cs="Arial"/>
              </w:rPr>
            </w:pPr>
          </w:p>
          <w:p w:rsidR="006D232B" w:rsidRPr="00A37FB1" w:rsidRDefault="006D232B" w:rsidP="00A37FB1">
            <w:pPr>
              <w:ind w:left="34"/>
              <w:rPr>
                <w:rFonts w:ascii="Arial" w:hAnsi="Arial" w:cs="Arial"/>
              </w:rPr>
            </w:pPr>
          </w:p>
        </w:tc>
        <w:tc>
          <w:tcPr>
            <w:tcW w:w="7929" w:type="dxa"/>
          </w:tcPr>
          <w:p w:rsidR="006D232B" w:rsidRDefault="006D232B" w:rsidP="00A37FB1">
            <w:pPr>
              <w:pStyle w:val="ListParagraph"/>
              <w:ind w:left="0" w:right="283"/>
              <w:rPr>
                <w:b/>
                <w:color w:val="000000"/>
              </w:rPr>
            </w:pPr>
            <w:r w:rsidRPr="00A37FB1">
              <w:rPr>
                <w:b/>
                <w:color w:val="000000"/>
              </w:rPr>
              <w:t>There will be no avoidable injury or harm to people from healthcare they receive, and an appropriate, clean and safe environment will be provided for the delivery of healthcare services at all times.</w:t>
            </w:r>
          </w:p>
          <w:p w:rsidR="00A37FB1" w:rsidRPr="00A37FB1" w:rsidRDefault="00A37FB1" w:rsidP="00A37FB1">
            <w:pPr>
              <w:pStyle w:val="ListParagraph"/>
              <w:ind w:left="0" w:right="283"/>
              <w:rPr>
                <w:b/>
                <w:color w:val="000000"/>
              </w:rPr>
            </w:pPr>
          </w:p>
          <w:p w:rsidR="00A37FB1" w:rsidRDefault="009F4E02" w:rsidP="00A37FB1">
            <w:pPr>
              <w:numPr>
                <w:ilvl w:val="0"/>
                <w:numId w:val="12"/>
              </w:numPr>
              <w:tabs>
                <w:tab w:val="num" w:pos="655"/>
              </w:tabs>
              <w:ind w:right="283"/>
              <w:rPr>
                <w:rFonts w:ascii="Arial" w:hAnsi="Arial" w:cs="Arial"/>
                <w:bCs/>
                <w:lang w:val="en-US"/>
              </w:rPr>
            </w:pPr>
            <w:r>
              <w:rPr>
                <w:rFonts w:ascii="Arial" w:hAnsi="Arial" w:cs="Arial"/>
                <w:bCs/>
                <w:lang w:val="en-US"/>
              </w:rPr>
              <w:t>External Audit Annual Plan was presented and the Committee welcomed the wider scope of audit</w:t>
            </w:r>
            <w:r w:rsidR="00436D9B">
              <w:rPr>
                <w:rFonts w:ascii="Arial" w:hAnsi="Arial" w:cs="Arial"/>
                <w:bCs/>
                <w:lang w:val="en-US"/>
              </w:rPr>
              <w:t>.</w:t>
            </w:r>
          </w:p>
          <w:p w:rsidR="009F4E02" w:rsidRDefault="009F4E02" w:rsidP="009F4E02">
            <w:pPr>
              <w:numPr>
                <w:ilvl w:val="0"/>
                <w:numId w:val="12"/>
              </w:numPr>
              <w:tabs>
                <w:tab w:val="num" w:pos="655"/>
              </w:tabs>
              <w:ind w:right="283"/>
              <w:rPr>
                <w:rFonts w:ascii="Arial" w:hAnsi="Arial" w:cs="Arial"/>
                <w:bCs/>
                <w:lang w:val="en-US"/>
              </w:rPr>
            </w:pPr>
            <w:r w:rsidRPr="00A37FB1">
              <w:rPr>
                <w:rFonts w:ascii="Arial" w:hAnsi="Arial" w:cs="Arial"/>
                <w:bCs/>
                <w:lang w:val="en-US"/>
              </w:rPr>
              <w:t xml:space="preserve">The updated Board </w:t>
            </w:r>
            <w:r>
              <w:rPr>
                <w:rFonts w:ascii="Arial" w:hAnsi="Arial" w:cs="Arial"/>
                <w:bCs/>
                <w:lang w:val="en-US"/>
              </w:rPr>
              <w:t>R</w:t>
            </w:r>
            <w:r w:rsidRPr="00A37FB1">
              <w:rPr>
                <w:rFonts w:ascii="Arial" w:hAnsi="Arial" w:cs="Arial"/>
                <w:bCs/>
                <w:lang w:val="en-US"/>
              </w:rPr>
              <w:t xml:space="preserve">isk </w:t>
            </w:r>
            <w:r>
              <w:rPr>
                <w:rFonts w:ascii="Arial" w:hAnsi="Arial" w:cs="Arial"/>
                <w:bCs/>
                <w:lang w:val="en-US"/>
              </w:rPr>
              <w:t>R</w:t>
            </w:r>
            <w:r w:rsidRPr="00A37FB1">
              <w:rPr>
                <w:rFonts w:ascii="Arial" w:hAnsi="Arial" w:cs="Arial"/>
                <w:bCs/>
                <w:lang w:val="en-US"/>
              </w:rPr>
              <w:t xml:space="preserve">egister </w:t>
            </w:r>
            <w:r>
              <w:rPr>
                <w:rFonts w:ascii="Arial" w:hAnsi="Arial" w:cs="Arial"/>
                <w:bCs/>
                <w:lang w:val="en-US"/>
              </w:rPr>
              <w:t>was presented</w:t>
            </w:r>
            <w:r w:rsidR="00F2168A">
              <w:rPr>
                <w:rFonts w:ascii="Arial" w:hAnsi="Arial" w:cs="Arial"/>
                <w:bCs/>
                <w:lang w:val="en-US"/>
              </w:rPr>
              <w:t>. T</w:t>
            </w:r>
            <w:r>
              <w:rPr>
                <w:rFonts w:ascii="Arial" w:hAnsi="Arial" w:cs="Arial"/>
                <w:bCs/>
                <w:lang w:val="en-US"/>
              </w:rPr>
              <w:t xml:space="preserve">he Committee noted the mitigating controls in place and endorsed amendments to the register and </w:t>
            </w:r>
            <w:r w:rsidR="00113AAD">
              <w:rPr>
                <w:rFonts w:ascii="Arial" w:hAnsi="Arial" w:cs="Arial"/>
                <w:bCs/>
                <w:lang w:val="en-US"/>
              </w:rPr>
              <w:t xml:space="preserve">also </w:t>
            </w:r>
            <w:r>
              <w:rPr>
                <w:rFonts w:ascii="Arial" w:hAnsi="Arial" w:cs="Arial"/>
                <w:bCs/>
                <w:lang w:val="en-US"/>
              </w:rPr>
              <w:t>noted update in relation to expansion risks</w:t>
            </w:r>
            <w:r w:rsidR="00436D9B">
              <w:rPr>
                <w:rFonts w:ascii="Arial" w:hAnsi="Arial" w:cs="Arial"/>
                <w:bCs/>
                <w:lang w:val="en-US"/>
              </w:rPr>
              <w:t>.</w:t>
            </w:r>
            <w:r w:rsidR="004F1CCD">
              <w:rPr>
                <w:rFonts w:ascii="Arial" w:hAnsi="Arial" w:cs="Arial"/>
                <w:bCs/>
                <w:lang w:val="en-US"/>
              </w:rPr>
              <w:t xml:space="preserve"> The Committee also noted it would be useful to see the construction and other risks on a single risk register</w:t>
            </w:r>
            <w:r w:rsidR="000F3034">
              <w:rPr>
                <w:rFonts w:ascii="Arial" w:hAnsi="Arial" w:cs="Arial"/>
                <w:bCs/>
                <w:lang w:val="en-US"/>
              </w:rPr>
              <w:t>.</w:t>
            </w:r>
          </w:p>
          <w:p w:rsidR="00A37FB1" w:rsidRPr="000F3034" w:rsidRDefault="00F2168A" w:rsidP="00A37FB1">
            <w:pPr>
              <w:numPr>
                <w:ilvl w:val="0"/>
                <w:numId w:val="12"/>
              </w:numPr>
              <w:tabs>
                <w:tab w:val="num" w:pos="655"/>
              </w:tabs>
              <w:ind w:right="283"/>
              <w:rPr>
                <w:rFonts w:ascii="Arial" w:hAnsi="Arial" w:cs="Arial"/>
                <w:bCs/>
                <w:lang w:val="en-US"/>
              </w:rPr>
            </w:pPr>
            <w:r>
              <w:rPr>
                <w:rFonts w:ascii="Arial" w:hAnsi="Arial" w:cs="Arial"/>
                <w:bCs/>
                <w:lang w:val="en-US"/>
              </w:rPr>
              <w:t xml:space="preserve">The </w:t>
            </w:r>
            <w:r w:rsidR="009F4E02">
              <w:rPr>
                <w:rFonts w:ascii="Arial" w:hAnsi="Arial" w:cs="Arial"/>
                <w:bCs/>
                <w:lang w:val="en-US"/>
              </w:rPr>
              <w:t>Risk Appetite Statement was discussed and approved by the Committee</w:t>
            </w:r>
            <w:r w:rsidR="009F4E02" w:rsidRPr="00A37FB1">
              <w:rPr>
                <w:rFonts w:ascii="Arial" w:hAnsi="Arial" w:cs="Arial"/>
                <w:bCs/>
                <w:lang w:val="en-US"/>
              </w:rPr>
              <w:t>.</w:t>
            </w:r>
          </w:p>
        </w:tc>
      </w:tr>
      <w:tr w:rsidR="00A37FB1" w:rsidRPr="00A37FB1" w:rsidTr="00A37FB1">
        <w:trPr>
          <w:trHeight w:val="388"/>
        </w:trPr>
        <w:tc>
          <w:tcPr>
            <w:tcW w:w="1251" w:type="dxa"/>
            <w:shd w:val="clear" w:color="auto" w:fill="0000FF"/>
          </w:tcPr>
          <w:p w:rsidR="00A37FB1" w:rsidRPr="00A37FB1" w:rsidRDefault="00A37FB1" w:rsidP="00A37FB1">
            <w:pPr>
              <w:ind w:left="34"/>
              <w:rPr>
                <w:rFonts w:ascii="Arial" w:hAnsi="Arial" w:cs="Arial"/>
                <w:b/>
                <w:bCs/>
                <w:color w:val="FFFFFF"/>
                <w:lang w:val="en-US"/>
              </w:rPr>
            </w:pPr>
            <w:r w:rsidRPr="00A37FB1">
              <w:rPr>
                <w:rFonts w:ascii="Arial" w:hAnsi="Arial" w:cs="Arial"/>
                <w:b/>
                <w:bCs/>
                <w:color w:val="FFFFFF"/>
                <w:lang w:val="en-US"/>
              </w:rPr>
              <w:lastRenderedPageBreak/>
              <w:t>Item</w:t>
            </w:r>
          </w:p>
        </w:tc>
        <w:tc>
          <w:tcPr>
            <w:tcW w:w="7929" w:type="dxa"/>
            <w:shd w:val="clear" w:color="auto" w:fill="0000FF"/>
          </w:tcPr>
          <w:p w:rsidR="00A37FB1" w:rsidRPr="00A37FB1" w:rsidRDefault="00A37FB1" w:rsidP="00A37FB1">
            <w:pPr>
              <w:rPr>
                <w:rFonts w:ascii="Arial" w:hAnsi="Arial" w:cs="Arial"/>
                <w:b/>
                <w:bCs/>
                <w:color w:val="FFFFFF"/>
                <w:lang w:val="en-US"/>
              </w:rPr>
            </w:pPr>
            <w:r w:rsidRPr="00A37FB1">
              <w:rPr>
                <w:rFonts w:ascii="Arial" w:hAnsi="Arial" w:cs="Arial"/>
                <w:b/>
                <w:bCs/>
                <w:color w:val="FFFFFF"/>
                <w:lang w:val="en-US"/>
              </w:rPr>
              <w:t>Details</w:t>
            </w:r>
          </w:p>
        </w:tc>
      </w:tr>
      <w:tr w:rsidR="006D232B" w:rsidRPr="00A37FB1" w:rsidTr="00A37FB1">
        <w:tc>
          <w:tcPr>
            <w:tcW w:w="1251" w:type="dxa"/>
          </w:tcPr>
          <w:p w:rsidR="006D232B" w:rsidRPr="00A37FB1" w:rsidRDefault="006D232B" w:rsidP="00A37FB1">
            <w:pPr>
              <w:ind w:left="34"/>
              <w:rPr>
                <w:rFonts w:ascii="Arial" w:hAnsi="Arial" w:cs="Arial"/>
                <w:b/>
                <w:lang w:val="en-US"/>
              </w:rPr>
            </w:pPr>
            <w:r w:rsidRPr="00A37FB1">
              <w:rPr>
                <w:rFonts w:ascii="Arial" w:hAnsi="Arial" w:cs="Arial"/>
                <w:b/>
                <w:lang w:val="en-US"/>
              </w:rPr>
              <w:t>Effective</w:t>
            </w: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tc>
        <w:tc>
          <w:tcPr>
            <w:tcW w:w="7929" w:type="dxa"/>
          </w:tcPr>
          <w:p w:rsidR="006D232B" w:rsidRDefault="006D232B" w:rsidP="00A37FB1">
            <w:pPr>
              <w:pStyle w:val="ListParagraph"/>
              <w:ind w:left="0" w:right="283"/>
              <w:rPr>
                <w:b/>
                <w:color w:val="000000"/>
              </w:rPr>
            </w:pPr>
            <w:r w:rsidRPr="00A37FB1">
              <w:rPr>
                <w:b/>
                <w:color w:val="000000"/>
              </w:rPr>
              <w:t>The most appropriate treatments, interventions, support and services will be provided at the right time to everyone who will benefit, and wasteful or harmful variation will be eradicated.</w:t>
            </w:r>
          </w:p>
          <w:p w:rsidR="00A37FB1" w:rsidRPr="00A37FB1" w:rsidRDefault="00A37FB1" w:rsidP="00A37FB1">
            <w:pPr>
              <w:pStyle w:val="ListParagraph"/>
              <w:ind w:left="0" w:right="283"/>
              <w:rPr>
                <w:b/>
                <w:color w:val="000000"/>
              </w:rPr>
            </w:pPr>
          </w:p>
          <w:p w:rsidR="00A37FB1" w:rsidRPr="00A37FB1" w:rsidRDefault="00A37FB1" w:rsidP="00A37FB1">
            <w:pPr>
              <w:numPr>
                <w:ilvl w:val="0"/>
                <w:numId w:val="13"/>
              </w:numPr>
              <w:ind w:right="283"/>
              <w:rPr>
                <w:rFonts w:ascii="Arial" w:hAnsi="Arial" w:cs="Arial"/>
              </w:rPr>
            </w:pPr>
            <w:r w:rsidRPr="00A37FB1">
              <w:rPr>
                <w:rFonts w:ascii="Arial" w:hAnsi="Arial" w:cs="Arial"/>
              </w:rPr>
              <w:t>The internal audit progress report was presented</w:t>
            </w:r>
            <w:r>
              <w:rPr>
                <w:rFonts w:ascii="Arial" w:hAnsi="Arial" w:cs="Arial"/>
              </w:rPr>
              <w:t>,</w:t>
            </w:r>
            <w:r w:rsidRPr="00A37FB1">
              <w:rPr>
                <w:rFonts w:ascii="Arial" w:hAnsi="Arial" w:cs="Arial"/>
              </w:rPr>
              <w:t xml:space="preserve"> with audits on </w:t>
            </w:r>
            <w:r w:rsidR="009F4E02">
              <w:rPr>
                <w:rFonts w:ascii="Arial" w:hAnsi="Arial" w:cs="Arial"/>
              </w:rPr>
              <w:t>expansion project and business continuity</w:t>
            </w:r>
            <w:r w:rsidRPr="00A37FB1">
              <w:rPr>
                <w:rFonts w:ascii="Arial" w:hAnsi="Arial" w:cs="Arial"/>
              </w:rPr>
              <w:t>. These identified a small number of medium and low risk recommendations. No major issues were identified.</w:t>
            </w:r>
          </w:p>
          <w:p w:rsidR="00A37FB1" w:rsidRPr="00A37FB1" w:rsidRDefault="00F2168A" w:rsidP="00A37FB1">
            <w:pPr>
              <w:numPr>
                <w:ilvl w:val="0"/>
                <w:numId w:val="13"/>
              </w:numPr>
              <w:ind w:right="283"/>
              <w:rPr>
                <w:rFonts w:ascii="Arial" w:hAnsi="Arial" w:cs="Arial"/>
              </w:rPr>
            </w:pPr>
            <w:r>
              <w:rPr>
                <w:rFonts w:ascii="Arial" w:hAnsi="Arial" w:cs="Arial"/>
              </w:rPr>
              <w:t xml:space="preserve">The </w:t>
            </w:r>
            <w:r w:rsidR="00436D9B">
              <w:rPr>
                <w:rFonts w:ascii="Arial" w:hAnsi="Arial" w:cs="Arial"/>
              </w:rPr>
              <w:t>Governance Guidance Statement was presented</w:t>
            </w:r>
            <w:r>
              <w:rPr>
                <w:rFonts w:ascii="Arial" w:hAnsi="Arial" w:cs="Arial"/>
              </w:rPr>
              <w:t>. The A</w:t>
            </w:r>
            <w:r w:rsidR="00436D9B">
              <w:rPr>
                <w:rFonts w:ascii="Arial" w:hAnsi="Arial" w:cs="Arial"/>
              </w:rPr>
              <w:t>udit</w:t>
            </w:r>
            <w:r>
              <w:rPr>
                <w:rFonts w:ascii="Arial" w:hAnsi="Arial" w:cs="Arial"/>
              </w:rPr>
              <w:t>ors</w:t>
            </w:r>
            <w:r w:rsidR="00436D9B">
              <w:rPr>
                <w:rFonts w:ascii="Arial" w:hAnsi="Arial" w:cs="Arial"/>
              </w:rPr>
              <w:t xml:space="preserve"> recommended that it be noted in the statement that the Interim Chair of the Board attended the meeting.</w:t>
            </w:r>
          </w:p>
          <w:p w:rsidR="00A37FB1" w:rsidRPr="00A37FB1" w:rsidRDefault="00A37FB1" w:rsidP="00A37FB1">
            <w:pPr>
              <w:numPr>
                <w:ilvl w:val="0"/>
                <w:numId w:val="13"/>
              </w:numPr>
              <w:ind w:right="283"/>
              <w:rPr>
                <w:rFonts w:ascii="Arial" w:hAnsi="Arial" w:cs="Arial"/>
              </w:rPr>
            </w:pPr>
            <w:r w:rsidRPr="00A37FB1">
              <w:rPr>
                <w:rFonts w:ascii="Arial" w:hAnsi="Arial" w:cs="Arial"/>
              </w:rPr>
              <w:t xml:space="preserve">An update on progress of the internal audit </w:t>
            </w:r>
            <w:r w:rsidR="00436D9B">
              <w:rPr>
                <w:rFonts w:ascii="Arial" w:hAnsi="Arial" w:cs="Arial"/>
              </w:rPr>
              <w:t xml:space="preserve">follow up report was </w:t>
            </w:r>
            <w:r w:rsidRPr="00A37FB1">
              <w:rPr>
                <w:rFonts w:ascii="Arial" w:hAnsi="Arial" w:cs="Arial"/>
              </w:rPr>
              <w:t>presented and the Committee</w:t>
            </w:r>
            <w:r w:rsidR="00436D9B">
              <w:rPr>
                <w:rFonts w:ascii="Arial" w:hAnsi="Arial" w:cs="Arial"/>
              </w:rPr>
              <w:t xml:space="preserve"> were content with the progress and format of the dashboard</w:t>
            </w:r>
            <w:r w:rsidRPr="00A37FB1">
              <w:rPr>
                <w:rFonts w:ascii="Arial" w:hAnsi="Arial" w:cs="Arial"/>
              </w:rPr>
              <w:t xml:space="preserve">. </w:t>
            </w:r>
          </w:p>
          <w:p w:rsidR="006D232B" w:rsidRPr="00A37FB1" w:rsidRDefault="006D232B" w:rsidP="00A37FB1">
            <w:pPr>
              <w:pStyle w:val="Body"/>
              <w:pBdr>
                <w:top w:val="none" w:sz="0" w:space="0" w:color="auto"/>
                <w:left w:val="none" w:sz="0" w:space="0" w:color="auto"/>
                <w:bottom w:val="none" w:sz="0" w:space="0" w:color="auto"/>
                <w:right w:val="none" w:sz="0" w:space="0" w:color="auto"/>
                <w:bar w:val="none" w:sz="0" w:color="auto"/>
              </w:pBdr>
              <w:rPr>
                <w:rFonts w:hAnsi="Arial" w:cs="Arial"/>
                <w:b/>
                <w:lang w:val="en-US"/>
              </w:rPr>
            </w:pPr>
          </w:p>
        </w:tc>
      </w:tr>
    </w:tbl>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A37FB1">
        <w:rPr>
          <w:rFonts w:hAnsi="Arial" w:cs="Arial"/>
          <w:lang w:val="en-US"/>
        </w:rPr>
        <w:t>The n</w:t>
      </w:r>
      <w:r w:rsidR="00A37FB1" w:rsidRPr="00A37FB1">
        <w:rPr>
          <w:rFonts w:hAnsi="Arial" w:cs="Arial"/>
          <w:lang w:val="en-US"/>
        </w:rPr>
        <w:t>ext meeting is scheduled for</w:t>
      </w:r>
      <w:r w:rsidR="00113AAD">
        <w:rPr>
          <w:rFonts w:hAnsi="Arial" w:cs="Arial"/>
          <w:lang w:val="en-US"/>
        </w:rPr>
        <w:t xml:space="preserve"> </w:t>
      </w:r>
      <w:r w:rsidR="00436D9B">
        <w:rPr>
          <w:rFonts w:hAnsi="Arial" w:cs="Arial"/>
          <w:lang w:val="en-US"/>
        </w:rPr>
        <w:t>10 April</w:t>
      </w:r>
      <w:r w:rsidR="00A37FB1" w:rsidRPr="00A37FB1">
        <w:rPr>
          <w:rFonts w:hAnsi="Arial" w:cs="Arial"/>
          <w:lang w:val="en-US"/>
        </w:rPr>
        <w:t xml:space="preserve"> 2018.</w:t>
      </w:r>
    </w:p>
    <w:p w:rsidR="001175E5" w:rsidRDefault="001175E5" w:rsidP="00506517">
      <w:pPr>
        <w:ind w:right="183"/>
        <w:rPr>
          <w:rFonts w:ascii="Arial" w:hAnsi="Arial" w:cs="Arial"/>
          <w:bCs/>
        </w:rPr>
      </w:pPr>
    </w:p>
    <w:p w:rsidR="00D95DA3" w:rsidRDefault="00D95DA3" w:rsidP="00D95DA3">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r>
        <w:rPr>
          <w:rFonts w:ascii="Arial Bold"/>
          <w:lang w:val="en-US"/>
        </w:rPr>
        <w:t>2</w:t>
      </w:r>
      <w:r>
        <w:rPr>
          <w:rFonts w:ascii="Arial Bold"/>
          <w:lang w:val="en-US"/>
        </w:rPr>
        <w:tab/>
        <w:t>Recommendation</w:t>
      </w:r>
    </w:p>
    <w:p w:rsidR="00D95DA3" w:rsidRDefault="00D95DA3" w:rsidP="00D95DA3">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p>
    <w:p w:rsidR="00D95DA3" w:rsidRDefault="00D95DA3" w:rsidP="00D95DA3">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r>
        <w:rPr>
          <w:rFonts w:ascii="Arial Bold"/>
          <w:lang w:val="en-US"/>
        </w:rPr>
        <w:tab/>
      </w:r>
      <w:r w:rsidRPr="00C92710">
        <w:rPr>
          <w:rFonts w:hAnsi="Arial" w:cs="Arial"/>
        </w:rPr>
        <w:t xml:space="preserve">Board members are asked to </w:t>
      </w:r>
      <w:r>
        <w:rPr>
          <w:rFonts w:hAnsi="Arial" w:cs="Arial"/>
        </w:rPr>
        <w:t xml:space="preserve">discuss and </w:t>
      </w:r>
      <w:r w:rsidRPr="00C92710">
        <w:rPr>
          <w:rFonts w:hAnsi="Arial" w:cs="Arial"/>
        </w:rPr>
        <w:t>note</w:t>
      </w:r>
      <w:r>
        <w:rPr>
          <w:rFonts w:hAnsi="Arial" w:cs="Arial"/>
          <w:iCs/>
        </w:rPr>
        <w:t xml:space="preserve"> the update.</w:t>
      </w:r>
      <w:r>
        <w:rPr>
          <w:rFonts w:hAnsi="Arial" w:cs="Arial"/>
          <w:i/>
          <w:iCs/>
        </w:rPr>
        <w:br/>
      </w:r>
    </w:p>
    <w:p w:rsidR="00EA1E2D" w:rsidRPr="00A37FB1" w:rsidRDefault="00436D9B" w:rsidP="00EA1E2D">
      <w:pPr>
        <w:rPr>
          <w:rFonts w:ascii="Arial" w:hAnsi="Arial" w:cs="Arial"/>
          <w:b/>
          <w:bCs/>
        </w:rPr>
      </w:pPr>
      <w:r>
        <w:rPr>
          <w:rFonts w:ascii="Arial" w:hAnsi="Arial" w:cs="Arial"/>
          <w:b/>
          <w:bCs/>
        </w:rPr>
        <w:t>Karen Kelly</w:t>
      </w:r>
    </w:p>
    <w:p w:rsidR="00EA1E2D" w:rsidRPr="00A37FB1" w:rsidRDefault="00EA1E2D" w:rsidP="00EA1E2D">
      <w:pPr>
        <w:rPr>
          <w:rFonts w:ascii="Arial" w:hAnsi="Arial" w:cs="Arial"/>
          <w:b/>
          <w:bCs/>
        </w:rPr>
      </w:pPr>
      <w:r w:rsidRPr="00A37FB1">
        <w:rPr>
          <w:rFonts w:ascii="Arial" w:hAnsi="Arial" w:cs="Arial"/>
          <w:b/>
          <w:bCs/>
        </w:rPr>
        <w:t>Audit and Risk Committee Chair</w:t>
      </w:r>
    </w:p>
    <w:p w:rsidR="00EA1E2D" w:rsidRPr="00A37FB1" w:rsidRDefault="004F1CCD" w:rsidP="00EA1E2D">
      <w:pPr>
        <w:rPr>
          <w:rFonts w:ascii="Arial" w:hAnsi="Arial" w:cs="Arial"/>
          <w:b/>
          <w:bCs/>
        </w:rPr>
      </w:pPr>
      <w:r>
        <w:rPr>
          <w:rFonts w:ascii="Arial" w:hAnsi="Arial" w:cs="Arial"/>
          <w:b/>
          <w:bCs/>
        </w:rPr>
        <w:t>19</w:t>
      </w:r>
      <w:r w:rsidRPr="004F1CCD">
        <w:rPr>
          <w:rFonts w:ascii="Arial" w:hAnsi="Arial" w:cs="Arial"/>
          <w:b/>
          <w:bCs/>
          <w:vertAlign w:val="superscript"/>
        </w:rPr>
        <w:t>th</w:t>
      </w:r>
      <w:r>
        <w:rPr>
          <w:rFonts w:ascii="Arial" w:hAnsi="Arial" w:cs="Arial"/>
          <w:b/>
          <w:bCs/>
        </w:rPr>
        <w:t xml:space="preserve"> March </w:t>
      </w:r>
      <w:r w:rsidR="00436D9B">
        <w:rPr>
          <w:rFonts w:ascii="Arial" w:hAnsi="Arial" w:cs="Arial"/>
          <w:b/>
          <w:bCs/>
        </w:rPr>
        <w:t>2018</w:t>
      </w:r>
    </w:p>
    <w:p w:rsidR="00EA1E2D" w:rsidRPr="00A37FB1" w:rsidRDefault="00EA1E2D" w:rsidP="00EA1E2D">
      <w:pPr>
        <w:rPr>
          <w:rFonts w:ascii="Arial" w:hAnsi="Arial" w:cs="Arial"/>
          <w:b/>
          <w:bCs/>
        </w:rPr>
      </w:pPr>
    </w:p>
    <w:p w:rsidR="00EA1E2D" w:rsidRPr="00A37FB1" w:rsidRDefault="00EA1E2D" w:rsidP="00EA1E2D">
      <w:pPr>
        <w:rPr>
          <w:rFonts w:ascii="Arial" w:hAnsi="Arial" w:cs="Arial"/>
        </w:rPr>
      </w:pPr>
      <w:r w:rsidRPr="00A37FB1">
        <w:rPr>
          <w:rFonts w:ascii="Arial" w:hAnsi="Arial" w:cs="Arial"/>
          <w:b/>
          <w:bCs/>
        </w:rPr>
        <w:t xml:space="preserve">(Julie Carter, Director of Finance) </w:t>
      </w:r>
    </w:p>
    <w:p w:rsidR="00EA1E2D" w:rsidRDefault="00EA1E2D" w:rsidP="00506517">
      <w:pPr>
        <w:ind w:right="183"/>
      </w:pPr>
    </w:p>
    <w:sectPr w:rsidR="00EA1E2D" w:rsidSect="00F2168A">
      <w:footerReference w:type="default" r:id="rId8"/>
      <w:footerReference w:type="first" r:id="rId9"/>
      <w:pgSz w:w="11906" w:h="16838"/>
      <w:pgMar w:top="1135"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EB6" w:rsidRDefault="004B1EB6">
      <w:r>
        <w:separator/>
      </w:r>
    </w:p>
  </w:endnote>
  <w:endnote w:type="continuationSeparator" w:id="0">
    <w:p w:rsidR="004B1EB6" w:rsidRDefault="004B1E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B1" w:rsidRPr="00513DB0" w:rsidRDefault="00867711" w:rsidP="00513DB0">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CE7E5E" w:rsidRPr="00513DB0">
      <w:rPr>
        <w:rStyle w:val="PageNumber"/>
        <w:rFonts w:ascii="Arial" w:hAnsi="Arial" w:cs="Arial"/>
      </w:rPr>
      <w:fldChar w:fldCharType="begin"/>
    </w:r>
    <w:r w:rsidR="00A37FB1" w:rsidRPr="00513DB0">
      <w:rPr>
        <w:rStyle w:val="PageNumber"/>
        <w:rFonts w:ascii="Arial" w:hAnsi="Arial" w:cs="Arial"/>
      </w:rPr>
      <w:instrText xml:space="preserve"> PAGE </w:instrText>
    </w:r>
    <w:r w:rsidR="00CE7E5E" w:rsidRPr="00513DB0">
      <w:rPr>
        <w:rStyle w:val="PageNumber"/>
        <w:rFonts w:ascii="Arial" w:hAnsi="Arial" w:cs="Arial"/>
      </w:rPr>
      <w:fldChar w:fldCharType="separate"/>
    </w:r>
    <w:r w:rsidR="00F2168A">
      <w:rPr>
        <w:rStyle w:val="PageNumber"/>
        <w:rFonts w:ascii="Arial" w:hAnsi="Arial" w:cs="Arial"/>
        <w:noProof/>
      </w:rPr>
      <w:t>2</w:t>
    </w:r>
    <w:r w:rsidR="00CE7E5E" w:rsidRPr="00513DB0">
      <w:rPr>
        <w:rStyle w:val="PageNumber"/>
        <w:rFonts w:ascii="Arial" w:hAnsi="Arial" w:cs="Arial"/>
      </w:rPr>
      <w:fldChar w:fldCharType="end"/>
    </w:r>
  </w:p>
  <w:p w:rsidR="00A37FB1" w:rsidRDefault="00A37FB1" w:rsidP="00513DB0">
    <w:pPr>
      <w:ind w:left="-540" w:right="184"/>
      <w:jc w:val="center"/>
      <w:rPr>
        <w:rFonts w:ascii="Arial" w:hAnsi="Arial" w:cs="Arial"/>
        <w:sz w:val="20"/>
        <w:szCs w:val="20"/>
      </w:rPr>
    </w:pPr>
  </w:p>
  <w:p w:rsidR="00867711" w:rsidRDefault="00867711" w:rsidP="00513DB0">
    <w:pPr>
      <w:ind w:left="-540"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11" w:rsidRPr="00513DB0" w:rsidRDefault="00867711" w:rsidP="00867711">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CE7E5E" w:rsidRPr="00513DB0">
      <w:rPr>
        <w:rStyle w:val="PageNumber"/>
        <w:rFonts w:ascii="Arial" w:hAnsi="Arial" w:cs="Arial"/>
      </w:rPr>
      <w:fldChar w:fldCharType="begin"/>
    </w:r>
    <w:r w:rsidRPr="00513DB0">
      <w:rPr>
        <w:rStyle w:val="PageNumber"/>
        <w:rFonts w:ascii="Arial" w:hAnsi="Arial" w:cs="Arial"/>
      </w:rPr>
      <w:instrText xml:space="preserve"> PAGE </w:instrText>
    </w:r>
    <w:r w:rsidR="00CE7E5E" w:rsidRPr="00513DB0">
      <w:rPr>
        <w:rStyle w:val="PageNumber"/>
        <w:rFonts w:ascii="Arial" w:hAnsi="Arial" w:cs="Arial"/>
      </w:rPr>
      <w:fldChar w:fldCharType="separate"/>
    </w:r>
    <w:r w:rsidR="00F2168A">
      <w:rPr>
        <w:rStyle w:val="PageNumber"/>
        <w:rFonts w:ascii="Arial" w:hAnsi="Arial" w:cs="Arial"/>
        <w:noProof/>
      </w:rPr>
      <w:t>1</w:t>
    </w:r>
    <w:r w:rsidR="00CE7E5E" w:rsidRPr="00513DB0">
      <w:rPr>
        <w:rStyle w:val="PageNumber"/>
        <w:rFonts w:ascii="Arial" w:hAnsi="Arial" w:cs="Arial"/>
      </w:rPr>
      <w:fldChar w:fldCharType="end"/>
    </w:r>
  </w:p>
  <w:p w:rsidR="00867711" w:rsidRDefault="00B303F5" w:rsidP="00867711">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867711" w:rsidRPr="008F5DB5" w:rsidRDefault="00867711" w:rsidP="00867711">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867711" w:rsidRPr="00867711" w:rsidRDefault="00867711" w:rsidP="00867711">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EB6" w:rsidRDefault="004B1EB6">
      <w:r>
        <w:separator/>
      </w:r>
    </w:p>
  </w:footnote>
  <w:footnote w:type="continuationSeparator" w:id="0">
    <w:p w:rsidR="004B1EB6" w:rsidRDefault="004B1E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B7C0937"/>
    <w:multiLevelType w:val="hybridMultilevel"/>
    <w:tmpl w:val="48F6915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Times New Roman" w:hint="default"/>
      </w:r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70331FDA"/>
    <w:multiLevelType w:val="hybridMultilevel"/>
    <w:tmpl w:val="431875F0"/>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8">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6"/>
  </w:num>
  <w:num w:numId="2">
    <w:abstractNumId w:val="11"/>
  </w:num>
  <w:num w:numId="3">
    <w:abstractNumId w:val="4"/>
  </w:num>
  <w:num w:numId="4">
    <w:abstractNumId w:val="0"/>
  </w:num>
  <w:num w:numId="5">
    <w:abstractNumId w:val="2"/>
  </w:num>
  <w:num w:numId="6">
    <w:abstractNumId w:val="9"/>
  </w:num>
  <w:num w:numId="7">
    <w:abstractNumId w:val="12"/>
  </w:num>
  <w:num w:numId="8">
    <w:abstractNumId w:val="1"/>
  </w:num>
  <w:num w:numId="9">
    <w:abstractNumId w:val="10"/>
  </w:num>
  <w:num w:numId="10">
    <w:abstractNumId w:val="5"/>
  </w:num>
  <w:num w:numId="11">
    <w:abstractNumId w:val="8"/>
  </w:num>
  <w:num w:numId="1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769F8"/>
    <w:rsid w:val="000A0F2E"/>
    <w:rsid w:val="000B5923"/>
    <w:rsid w:val="000F3034"/>
    <w:rsid w:val="00113AAD"/>
    <w:rsid w:val="001175E5"/>
    <w:rsid w:val="0014213C"/>
    <w:rsid w:val="00162874"/>
    <w:rsid w:val="00164DB7"/>
    <w:rsid w:val="001849E6"/>
    <w:rsid w:val="001A624A"/>
    <w:rsid w:val="001B3FD3"/>
    <w:rsid w:val="00200176"/>
    <w:rsid w:val="00233E6E"/>
    <w:rsid w:val="00354BBD"/>
    <w:rsid w:val="00362A4C"/>
    <w:rsid w:val="003E423D"/>
    <w:rsid w:val="003F19CA"/>
    <w:rsid w:val="00436D9B"/>
    <w:rsid w:val="004512CE"/>
    <w:rsid w:val="00463DB0"/>
    <w:rsid w:val="004B1EB6"/>
    <w:rsid w:val="004C77AF"/>
    <w:rsid w:val="004F1CCD"/>
    <w:rsid w:val="004F2EA6"/>
    <w:rsid w:val="00506517"/>
    <w:rsid w:val="00513DB0"/>
    <w:rsid w:val="00590B0A"/>
    <w:rsid w:val="006574B3"/>
    <w:rsid w:val="006A1357"/>
    <w:rsid w:val="006D232B"/>
    <w:rsid w:val="00745A4B"/>
    <w:rsid w:val="007C038F"/>
    <w:rsid w:val="00815350"/>
    <w:rsid w:val="008407C1"/>
    <w:rsid w:val="008553E2"/>
    <w:rsid w:val="00867711"/>
    <w:rsid w:val="00867E1A"/>
    <w:rsid w:val="00882F92"/>
    <w:rsid w:val="008C26A2"/>
    <w:rsid w:val="00952AC2"/>
    <w:rsid w:val="00992558"/>
    <w:rsid w:val="009F4E02"/>
    <w:rsid w:val="009F7274"/>
    <w:rsid w:val="00A2577B"/>
    <w:rsid w:val="00A37FB1"/>
    <w:rsid w:val="00AF2363"/>
    <w:rsid w:val="00B02684"/>
    <w:rsid w:val="00B303F5"/>
    <w:rsid w:val="00B36FD9"/>
    <w:rsid w:val="00C956E2"/>
    <w:rsid w:val="00CE7E5E"/>
    <w:rsid w:val="00D346C3"/>
    <w:rsid w:val="00D92AA6"/>
    <w:rsid w:val="00D95DA3"/>
    <w:rsid w:val="00E95856"/>
    <w:rsid w:val="00EA1E2D"/>
    <w:rsid w:val="00EB48CC"/>
    <w:rsid w:val="00EB7C07"/>
    <w:rsid w:val="00F2168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EA1E2D"/>
    <w:rPr>
      <w:b/>
      <w:bCs/>
      <w:sz w:val="32"/>
      <w:szCs w:val="32"/>
      <w:lang w:eastAsia="en-US"/>
    </w:rPr>
  </w:style>
</w:styles>
</file>

<file path=word/webSettings.xml><?xml version="1.0" encoding="utf-8"?>
<w:webSettings xmlns:r="http://schemas.openxmlformats.org/officeDocument/2006/relationships" xmlns:w="http://schemas.openxmlformats.org/wordprocessingml/2006/main">
  <w:divs>
    <w:div w:id="18775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439</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cp:lastPrinted>2018-03-20T10:17:00Z</cp:lastPrinted>
  <dcterms:created xsi:type="dcterms:W3CDTF">2018-03-20T12:24:00Z</dcterms:created>
  <dcterms:modified xsi:type="dcterms:W3CDTF">2018-03-22T16:26:00Z</dcterms:modified>
</cp:coreProperties>
</file>